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8306"/>
      </w:tblGrid>
      <w:tr w:rsidR="00861AF9" w:rsidRPr="00861AF9" w:rsidTr="00861AF9">
        <w:trPr>
          <w:trHeight w:val="675"/>
          <w:tblCellSpacing w:w="0" w:type="dxa"/>
        </w:trPr>
        <w:tc>
          <w:tcPr>
            <w:tcW w:w="2500" w:type="pct"/>
            <w:shd w:val="clear" w:color="auto" w:fill="FFFFFF"/>
            <w:hideMark/>
          </w:tcPr>
          <w:tbl>
            <w:tblPr>
              <w:tblW w:w="5000" w:type="pct"/>
              <w:tblCellSpacing w:w="37" w:type="dxa"/>
              <w:tblCellMar>
                <w:top w:w="45" w:type="dxa"/>
                <w:left w:w="45" w:type="dxa"/>
                <w:bottom w:w="45" w:type="dxa"/>
                <w:right w:w="45" w:type="dxa"/>
              </w:tblCellMar>
              <w:tblLook w:val="04A0"/>
            </w:tblPr>
            <w:tblGrid>
              <w:gridCol w:w="8306"/>
            </w:tblGrid>
            <w:tr w:rsidR="00861AF9" w:rsidRPr="00861AF9">
              <w:trPr>
                <w:tblCellSpacing w:w="37" w:type="dxa"/>
              </w:trPr>
              <w:tc>
                <w:tcPr>
                  <w:tcW w:w="0" w:type="auto"/>
                  <w:vAlign w:val="center"/>
                  <w:hideMark/>
                </w:tcPr>
                <w:tbl>
                  <w:tblPr>
                    <w:tblW w:w="7500" w:type="dxa"/>
                    <w:tblCellSpacing w:w="22" w:type="dxa"/>
                    <w:tblCellMar>
                      <w:left w:w="0" w:type="dxa"/>
                      <w:right w:w="0" w:type="dxa"/>
                    </w:tblCellMar>
                    <w:tblLook w:val="04A0"/>
                  </w:tblPr>
                  <w:tblGrid>
                    <w:gridCol w:w="7500"/>
                  </w:tblGrid>
                  <w:tr w:rsidR="00861AF9" w:rsidRPr="00861AF9">
                    <w:trPr>
                      <w:tblCellSpacing w:w="22" w:type="dxa"/>
                    </w:trPr>
                    <w:tc>
                      <w:tcPr>
                        <w:tcW w:w="0" w:type="auto"/>
                        <w:vAlign w:val="center"/>
                        <w:hideMark/>
                      </w:tcPr>
                      <w:p w:rsidR="00861AF9" w:rsidRPr="00861AF9" w:rsidRDefault="00861AF9" w:rsidP="00861AF9">
                        <w:pPr>
                          <w:widowControl/>
                          <w:rPr>
                            <w:rFonts w:ascii="新細明體" w:eastAsia="新細明體" w:hAnsi="新細明體" w:cs="新細明體"/>
                            <w:kern w:val="0"/>
                            <w:szCs w:val="24"/>
                          </w:rPr>
                        </w:pPr>
                        <w:r>
                          <w:rPr>
                            <w:rFonts w:ascii="新細明體" w:eastAsia="新細明體" w:hAnsi="新細明體" w:cs="新細明體"/>
                            <w:noProof/>
                            <w:kern w:val="0"/>
                            <w:szCs w:val="24"/>
                          </w:rPr>
                          <w:drawing>
                            <wp:inline distT="0" distB="0" distL="0" distR="0">
                              <wp:extent cx="2667000" cy="714375"/>
                              <wp:effectExtent l="19050" t="0" r="0" b="0"/>
                              <wp:docPr id="1" name="圖片 1" descr="http://www.hkexnews.hk/image/hd_list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kexnews.hk/image/hd_listed.gif"/>
                                      <pic:cNvPicPr>
                                        <a:picLocks noChangeAspect="1" noChangeArrowheads="1"/>
                                      </pic:cNvPicPr>
                                    </pic:nvPicPr>
                                    <pic:blipFill>
                                      <a:blip r:embed="rId4"/>
                                      <a:srcRect/>
                                      <a:stretch>
                                        <a:fillRect/>
                                      </a:stretch>
                                    </pic:blipFill>
                                    <pic:spPr bwMode="auto">
                                      <a:xfrm>
                                        <a:off x="0" y="0"/>
                                        <a:ext cx="2667000" cy="714375"/>
                                      </a:xfrm>
                                      <a:prstGeom prst="rect">
                                        <a:avLst/>
                                      </a:prstGeom>
                                      <a:noFill/>
                                      <a:ln w="9525">
                                        <a:noFill/>
                                        <a:miter lim="800000"/>
                                        <a:headEnd/>
                                        <a:tailEnd/>
                                      </a:ln>
                                    </pic:spPr>
                                  </pic:pic>
                                </a:graphicData>
                              </a:graphic>
                            </wp:inline>
                          </w:drawing>
                        </w:r>
                      </w:p>
                    </w:tc>
                  </w:tr>
                  <w:tr w:rsidR="00861AF9" w:rsidRPr="00861AF9">
                    <w:trPr>
                      <w:tblCellSpacing w:w="22" w:type="dxa"/>
                    </w:trPr>
                    <w:tc>
                      <w:tcPr>
                        <w:tcW w:w="0" w:type="auto"/>
                        <w:vAlign w:val="center"/>
                        <w:hideMark/>
                      </w:tcPr>
                      <w:p w:rsidR="00861AF9" w:rsidRPr="00861AF9" w:rsidRDefault="00861AF9" w:rsidP="00861AF9">
                        <w:pPr>
                          <w:widowControl/>
                          <w:rPr>
                            <w:rFonts w:ascii="新細明體" w:eastAsia="新細明體" w:hAnsi="新細明體" w:cs="新細明體"/>
                            <w:kern w:val="0"/>
                            <w:szCs w:val="24"/>
                          </w:rPr>
                        </w:pPr>
                      </w:p>
                    </w:tc>
                  </w:tr>
                  <w:tr w:rsidR="00861AF9" w:rsidRPr="00861AF9">
                    <w:trPr>
                      <w:tblCellSpacing w:w="22" w:type="dxa"/>
                    </w:trPr>
                    <w:tc>
                      <w:tcPr>
                        <w:tcW w:w="0" w:type="auto"/>
                        <w:vAlign w:val="center"/>
                        <w:hideMark/>
                      </w:tcPr>
                      <w:p w:rsidR="00861AF9" w:rsidRPr="00861AF9" w:rsidRDefault="00861AF9" w:rsidP="00861A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61AF9">
                          <w:rPr>
                            <w:rFonts w:ascii="細明體" w:eastAsia="細明體" w:hAnsi="細明體" w:cs="細明體"/>
                            <w:kern w:val="0"/>
                            <w:szCs w:val="24"/>
                          </w:rPr>
                          <w:t>KOWLOON DEV&lt;00034&gt; - Exceptional Price &amp; Turnover Movements</w:t>
                        </w:r>
                      </w:p>
                      <w:p w:rsidR="00861AF9" w:rsidRPr="00861AF9" w:rsidRDefault="00861AF9" w:rsidP="00861A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p>
                      <w:p w:rsidR="00861AF9" w:rsidRPr="00861AF9" w:rsidRDefault="00861AF9" w:rsidP="00A713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細明體" w:eastAsia="細明體" w:hAnsi="細明體" w:cs="細明體"/>
                            <w:kern w:val="0"/>
                            <w:szCs w:val="24"/>
                          </w:rPr>
                        </w:pPr>
                        <w:r w:rsidRPr="00861AF9">
                          <w:rPr>
                            <w:rFonts w:ascii="細明體" w:eastAsia="細明體" w:hAnsi="細明體" w:cs="細明體"/>
                            <w:kern w:val="0"/>
                            <w:szCs w:val="24"/>
                          </w:rPr>
                          <w:t>The Stock Exchange has received a message from Kowloon Development Company Limited which is reproduced as follows:-</w:t>
                        </w:r>
                      </w:p>
                      <w:p w:rsidR="00861AF9" w:rsidRPr="00861AF9" w:rsidRDefault="00861AF9" w:rsidP="00A713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細明體" w:eastAsia="細明體" w:hAnsi="細明體" w:cs="細明體"/>
                            <w:kern w:val="0"/>
                            <w:szCs w:val="24"/>
                          </w:rPr>
                        </w:pPr>
                      </w:p>
                      <w:p w:rsidR="00861AF9" w:rsidRPr="00861AF9" w:rsidRDefault="00861AF9" w:rsidP="00A713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細明體" w:eastAsia="細明體" w:hAnsi="細明體" w:cs="細明體"/>
                            <w:kern w:val="0"/>
                            <w:szCs w:val="24"/>
                          </w:rPr>
                        </w:pPr>
                        <w:r w:rsidRPr="00861AF9">
                          <w:rPr>
                            <w:rFonts w:ascii="細明體" w:eastAsia="細明體" w:hAnsi="細明體" w:cs="細明體"/>
                            <w:kern w:val="0"/>
                            <w:szCs w:val="24"/>
                          </w:rPr>
                          <w:t>"This statement is made at the request of The Stock Exchange of Hong Kong Limited.</w:t>
                        </w:r>
                      </w:p>
                      <w:p w:rsidR="00861AF9" w:rsidRPr="00861AF9" w:rsidRDefault="00861AF9" w:rsidP="00A713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細明體" w:eastAsia="細明體" w:hAnsi="細明體" w:cs="細明體"/>
                            <w:kern w:val="0"/>
                            <w:szCs w:val="24"/>
                          </w:rPr>
                        </w:pPr>
                      </w:p>
                      <w:p w:rsidR="00861AF9" w:rsidRPr="00861AF9" w:rsidRDefault="00861AF9" w:rsidP="00A713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細明體" w:eastAsia="細明體" w:hAnsi="細明體" w:cs="細明體"/>
                            <w:kern w:val="0"/>
                            <w:szCs w:val="24"/>
                          </w:rPr>
                        </w:pPr>
                        <w:r w:rsidRPr="00861AF9">
                          <w:rPr>
                            <w:rFonts w:ascii="細明體" w:eastAsia="細明體" w:hAnsi="細明體" w:cs="細明體"/>
                            <w:kern w:val="0"/>
                            <w:szCs w:val="24"/>
                          </w:rPr>
                          <w:t>The board of directors (the "Board") of Kowloon Development Company Limited (the "Company") has noted the recent decrease in the price and increase in the trading volume of the shares of the Company and wishes to state that the Board is not aware of any reason for such movements.</w:t>
                        </w:r>
                      </w:p>
                      <w:p w:rsidR="00861AF9" w:rsidRPr="00861AF9" w:rsidRDefault="00861AF9" w:rsidP="00A713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細明體" w:eastAsia="細明體" w:hAnsi="細明體" w:cs="細明體"/>
                            <w:kern w:val="0"/>
                            <w:szCs w:val="24"/>
                          </w:rPr>
                        </w:pPr>
                      </w:p>
                      <w:p w:rsidR="00861AF9" w:rsidRPr="00861AF9" w:rsidRDefault="00861AF9" w:rsidP="00A713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細明體" w:eastAsia="細明體" w:hAnsi="細明體" w:cs="細明體"/>
                            <w:kern w:val="0"/>
                            <w:szCs w:val="24"/>
                          </w:rPr>
                        </w:pPr>
                        <w:r w:rsidRPr="00861AF9">
                          <w:rPr>
                            <w:rFonts w:ascii="細明體" w:eastAsia="細明體" w:hAnsi="細明體" w:cs="細明體"/>
                            <w:kern w:val="0"/>
                            <w:szCs w:val="24"/>
                          </w:rPr>
                          <w:t xml:space="preserve">Save as disclosed in the Company's announcements dated 8 January 2004 and 13 January 2004 respectively, the Board confirms that there are no negotiations or agreements relating to intended acquisitions or </w:t>
                        </w:r>
                        <w:proofErr w:type="spellStart"/>
                        <w:r w:rsidRPr="00861AF9">
                          <w:rPr>
                            <w:rFonts w:ascii="細明體" w:eastAsia="細明體" w:hAnsi="細明體" w:cs="細明體"/>
                            <w:kern w:val="0"/>
                            <w:szCs w:val="24"/>
                          </w:rPr>
                          <w:t>realisatio</w:t>
                        </w:r>
                        <w:r w:rsidR="00A713D4">
                          <w:rPr>
                            <w:rFonts w:ascii="細明體" w:eastAsia="細明體" w:hAnsi="細明體" w:cs="細明體"/>
                            <w:kern w:val="0"/>
                            <w:szCs w:val="24"/>
                          </w:rPr>
                          <w:t>ns</w:t>
                        </w:r>
                        <w:proofErr w:type="spellEnd"/>
                        <w:r w:rsidR="00A713D4">
                          <w:rPr>
                            <w:rFonts w:ascii="細明體" w:eastAsia="細明體" w:hAnsi="細明體" w:cs="細明體"/>
                            <w:kern w:val="0"/>
                            <w:szCs w:val="24"/>
                          </w:rPr>
                          <w:t xml:space="preserve"> which are </w:t>
                        </w:r>
                        <w:proofErr w:type="spellStart"/>
                        <w:r w:rsidR="00A713D4">
                          <w:rPr>
                            <w:rFonts w:ascii="細明體" w:eastAsia="細明體" w:hAnsi="細明體" w:cs="細明體"/>
                            <w:kern w:val="0"/>
                            <w:szCs w:val="24"/>
                          </w:rPr>
                          <w:t>discloseable</w:t>
                        </w:r>
                        <w:proofErr w:type="spellEnd"/>
                        <w:r w:rsidR="00A713D4">
                          <w:rPr>
                            <w:rFonts w:ascii="細明體" w:eastAsia="細明體" w:hAnsi="細明體" w:cs="細明體"/>
                            <w:kern w:val="0"/>
                            <w:szCs w:val="24"/>
                          </w:rPr>
                          <w:t xml:space="preserve"> under</w:t>
                        </w:r>
                        <w:r w:rsidR="00A713D4">
                          <w:rPr>
                            <w:rFonts w:ascii="細明體" w:eastAsia="細明體" w:hAnsi="細明體" w:cs="細明體" w:hint="eastAsia"/>
                            <w:kern w:val="0"/>
                            <w:szCs w:val="24"/>
                          </w:rPr>
                          <w:t xml:space="preserve"> </w:t>
                        </w:r>
                        <w:r w:rsidRPr="00861AF9">
                          <w:rPr>
                            <w:rFonts w:ascii="細明體" w:eastAsia="細明體" w:hAnsi="細明體" w:cs="細明體"/>
                            <w:kern w:val="0"/>
                            <w:szCs w:val="24"/>
                          </w:rPr>
                          <w:t xml:space="preserve">paragraph 3 of the Listing Agreement, neither is the Board aware of any matter </w:t>
                        </w:r>
                        <w:proofErr w:type="spellStart"/>
                        <w:r w:rsidRPr="00861AF9">
                          <w:rPr>
                            <w:rFonts w:ascii="細明體" w:eastAsia="細明體" w:hAnsi="細明體" w:cs="細明體"/>
                            <w:kern w:val="0"/>
                            <w:szCs w:val="24"/>
                          </w:rPr>
                          <w:t>discloseable</w:t>
                        </w:r>
                        <w:proofErr w:type="spellEnd"/>
                        <w:r w:rsidRPr="00861AF9">
                          <w:rPr>
                            <w:rFonts w:ascii="細明體" w:eastAsia="細明體" w:hAnsi="細明體" w:cs="細明體"/>
                            <w:kern w:val="0"/>
                            <w:szCs w:val="24"/>
                          </w:rPr>
                          <w:t xml:space="preserve"> under the general obligation imposed by paragraph 2 of the Listing Agreement, which is or may be of a price-sensitive nature.</w:t>
                        </w:r>
                      </w:p>
                      <w:p w:rsidR="00861AF9" w:rsidRPr="00861AF9" w:rsidRDefault="00861AF9" w:rsidP="00A713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細明體" w:eastAsia="細明體" w:hAnsi="細明體" w:cs="細明體"/>
                            <w:kern w:val="0"/>
                            <w:szCs w:val="24"/>
                          </w:rPr>
                        </w:pPr>
                      </w:p>
                      <w:p w:rsidR="00861AF9" w:rsidRPr="00861AF9" w:rsidRDefault="00861AF9" w:rsidP="00A713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細明體" w:eastAsia="細明體" w:hAnsi="細明體" w:cs="細明體"/>
                            <w:kern w:val="0"/>
                            <w:szCs w:val="24"/>
                          </w:rPr>
                        </w:pPr>
                        <w:r w:rsidRPr="00861AF9">
                          <w:rPr>
                            <w:rFonts w:ascii="細明體" w:eastAsia="細明體" w:hAnsi="細明體" w:cs="細明體"/>
                            <w:kern w:val="0"/>
                            <w:szCs w:val="24"/>
                          </w:rPr>
                          <w:t>Made by the order of the Board, the directors of which individually and jointly accept responsi</w:t>
                        </w:r>
                        <w:r w:rsidR="00A713D4">
                          <w:rPr>
                            <w:rFonts w:ascii="細明體" w:eastAsia="細明體" w:hAnsi="細明體" w:cs="細明體"/>
                            <w:kern w:val="0"/>
                            <w:szCs w:val="24"/>
                          </w:rPr>
                          <w:t>bility for the accuracy of this</w:t>
                        </w:r>
                        <w:r w:rsidR="00A713D4">
                          <w:rPr>
                            <w:rFonts w:ascii="細明體" w:eastAsia="細明體" w:hAnsi="細明體" w:cs="細明體" w:hint="eastAsia"/>
                            <w:kern w:val="0"/>
                            <w:szCs w:val="24"/>
                          </w:rPr>
                          <w:t xml:space="preserve"> </w:t>
                        </w:r>
                        <w:r w:rsidRPr="00861AF9">
                          <w:rPr>
                            <w:rFonts w:ascii="細明體" w:eastAsia="細明體" w:hAnsi="細明體" w:cs="細明體"/>
                            <w:kern w:val="0"/>
                            <w:szCs w:val="24"/>
                          </w:rPr>
                          <w:t>statement.</w:t>
                        </w:r>
                      </w:p>
                      <w:p w:rsidR="00861AF9" w:rsidRPr="00861AF9" w:rsidRDefault="00861AF9" w:rsidP="00861A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p>
                      <w:p w:rsidR="00861AF9" w:rsidRPr="00861AF9" w:rsidRDefault="00861AF9" w:rsidP="00861A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61AF9">
                          <w:rPr>
                            <w:rFonts w:ascii="細明體" w:eastAsia="細明體" w:hAnsi="細明體" w:cs="細明體"/>
                            <w:kern w:val="0"/>
                            <w:szCs w:val="24"/>
                          </w:rPr>
                          <w:t>By Order of the Board</w:t>
                        </w:r>
                      </w:p>
                      <w:p w:rsidR="00861AF9" w:rsidRPr="00861AF9" w:rsidRDefault="00861AF9" w:rsidP="00861A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proofErr w:type="spellStart"/>
                        <w:r w:rsidRPr="00861AF9">
                          <w:rPr>
                            <w:rFonts w:ascii="細明體" w:eastAsia="細明體" w:hAnsi="細明體" w:cs="細明體"/>
                            <w:kern w:val="0"/>
                            <w:szCs w:val="24"/>
                          </w:rPr>
                          <w:t>Wai</w:t>
                        </w:r>
                        <w:proofErr w:type="spellEnd"/>
                        <w:r w:rsidRPr="00861AF9">
                          <w:rPr>
                            <w:rFonts w:ascii="細明體" w:eastAsia="細明體" w:hAnsi="細明體" w:cs="細明體"/>
                            <w:kern w:val="0"/>
                            <w:szCs w:val="24"/>
                          </w:rPr>
                          <w:t xml:space="preserve"> Yuk </w:t>
                        </w:r>
                        <w:proofErr w:type="spellStart"/>
                        <w:r w:rsidRPr="00861AF9">
                          <w:rPr>
                            <w:rFonts w:ascii="細明體" w:eastAsia="細明體" w:hAnsi="細明體" w:cs="細明體"/>
                            <w:kern w:val="0"/>
                            <w:szCs w:val="24"/>
                          </w:rPr>
                          <w:t>Hing</w:t>
                        </w:r>
                        <w:proofErr w:type="spellEnd"/>
                        <w:r w:rsidRPr="00861AF9">
                          <w:rPr>
                            <w:rFonts w:ascii="細明體" w:eastAsia="細明體" w:hAnsi="細明體" w:cs="細明體"/>
                            <w:kern w:val="0"/>
                            <w:szCs w:val="24"/>
                          </w:rPr>
                          <w:t>, Monica</w:t>
                        </w:r>
                      </w:p>
                      <w:p w:rsidR="00861AF9" w:rsidRPr="00861AF9" w:rsidRDefault="00861AF9" w:rsidP="00861A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61AF9">
                          <w:rPr>
                            <w:rFonts w:ascii="細明體" w:eastAsia="細明體" w:hAnsi="細明體" w:cs="細明體"/>
                            <w:kern w:val="0"/>
                            <w:szCs w:val="24"/>
                          </w:rPr>
                          <w:t>Company Secretary</w:t>
                        </w:r>
                      </w:p>
                      <w:p w:rsidR="00861AF9" w:rsidRPr="00861AF9" w:rsidRDefault="00861AF9" w:rsidP="00861A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p>
                      <w:p w:rsidR="00861AF9" w:rsidRPr="00861AF9" w:rsidRDefault="00861AF9" w:rsidP="00861A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61AF9">
                          <w:rPr>
                            <w:rFonts w:ascii="細明體" w:eastAsia="細明體" w:hAnsi="細明體" w:cs="細明體"/>
                            <w:kern w:val="0"/>
                            <w:szCs w:val="24"/>
                          </w:rPr>
                          <w:t>Hong Kong, 14 January 2004"</w:t>
                        </w:r>
                      </w:p>
                    </w:tc>
                  </w:tr>
                </w:tbl>
                <w:p w:rsidR="00861AF9" w:rsidRPr="00861AF9" w:rsidRDefault="00861AF9" w:rsidP="00861AF9">
                  <w:pPr>
                    <w:widowControl/>
                    <w:rPr>
                      <w:rFonts w:ascii="新細明體" w:eastAsia="新細明體" w:hAnsi="新細明體" w:cs="新細明體"/>
                      <w:kern w:val="0"/>
                      <w:szCs w:val="24"/>
                    </w:rPr>
                  </w:pPr>
                </w:p>
              </w:tc>
            </w:tr>
          </w:tbl>
          <w:p w:rsidR="00861AF9" w:rsidRPr="00861AF9" w:rsidRDefault="00861AF9" w:rsidP="00861AF9">
            <w:pPr>
              <w:widowControl/>
              <w:rPr>
                <w:rFonts w:ascii="新細明體" w:eastAsia="新細明體" w:hAnsi="新細明體" w:cs="新細明體"/>
                <w:kern w:val="0"/>
                <w:szCs w:val="24"/>
              </w:rPr>
            </w:pPr>
          </w:p>
        </w:tc>
      </w:tr>
    </w:tbl>
    <w:p w:rsidR="008C64BE" w:rsidRPr="00861AF9" w:rsidRDefault="008C64BE" w:rsidP="00A713D4"/>
    <w:sectPr w:rsidR="008C64BE" w:rsidRPr="00861AF9" w:rsidSect="008C64BE">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61AF9"/>
    <w:rsid w:val="00861AF9"/>
    <w:rsid w:val="008C64BE"/>
    <w:rsid w:val="00A713D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4B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61A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861AF9"/>
    <w:rPr>
      <w:rFonts w:ascii="細明體" w:eastAsia="細明體" w:hAnsi="細明體" w:cs="細明體"/>
      <w:kern w:val="0"/>
      <w:szCs w:val="24"/>
    </w:rPr>
  </w:style>
  <w:style w:type="paragraph" w:styleId="a3">
    <w:name w:val="Balloon Text"/>
    <w:basedOn w:val="a"/>
    <w:link w:val="a4"/>
    <w:uiPriority w:val="99"/>
    <w:semiHidden/>
    <w:unhideWhenUsed/>
    <w:rsid w:val="00861AF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861AF9"/>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22533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sukisin</dc:creator>
  <cp:lastModifiedBy>sukisin</cp:lastModifiedBy>
  <cp:revision>2</cp:revision>
  <dcterms:created xsi:type="dcterms:W3CDTF">2011-07-25T07:57:00Z</dcterms:created>
  <dcterms:modified xsi:type="dcterms:W3CDTF">2011-07-25T08:02:00Z</dcterms:modified>
</cp:coreProperties>
</file>